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34951B0" w:rsidR="00C360BD" w:rsidRDefault="0077435F" w:rsidP="00C360BD">
      <w:pPr>
        <w:jc w:val="center"/>
        <w:rPr>
          <w:b/>
          <w:sz w:val="24"/>
        </w:rPr>
      </w:pPr>
      <w:r w:rsidRPr="0077435F">
        <w:rPr>
          <w:b/>
          <w:sz w:val="24"/>
        </w:rPr>
        <w:t xml:space="preserve">Petr </w:t>
      </w:r>
      <w:proofErr w:type="spellStart"/>
      <w:r w:rsidRPr="0077435F">
        <w:rPr>
          <w:b/>
          <w:sz w:val="24"/>
        </w:rPr>
        <w:t>Šimáček</w:t>
      </w:r>
      <w:proofErr w:type="spellEnd"/>
      <w:r w:rsidR="001031D4" w:rsidRPr="001031D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7435F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F3AB2B7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7435F" w:rsidRPr="0077435F">
        <w:t>Assessment of Residential Attractiveness at the Local Level</w:t>
      </w:r>
      <w:r>
        <w:t>”</w:t>
      </w:r>
      <w:r w:rsidR="0048495F">
        <w:t xml:space="preserve"> </w:t>
      </w:r>
    </w:p>
    <w:p w14:paraId="16DB20D1" w14:textId="56BAD5FE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031D4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08C85" w14:textId="77777777" w:rsidR="00012D92" w:rsidRDefault="00012D92" w:rsidP="006521CC">
      <w:pPr>
        <w:spacing w:after="0" w:line="240" w:lineRule="auto"/>
      </w:pPr>
      <w:r>
        <w:separator/>
      </w:r>
    </w:p>
  </w:endnote>
  <w:endnote w:type="continuationSeparator" w:id="0">
    <w:p w14:paraId="2D4A655A" w14:textId="77777777" w:rsidR="00012D92" w:rsidRDefault="00012D9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6AD81" w14:textId="77777777" w:rsidR="00012D92" w:rsidRDefault="00012D92" w:rsidP="006521CC">
      <w:pPr>
        <w:spacing w:after="0" w:line="240" w:lineRule="auto"/>
      </w:pPr>
      <w:r>
        <w:separator/>
      </w:r>
    </w:p>
  </w:footnote>
  <w:footnote w:type="continuationSeparator" w:id="0">
    <w:p w14:paraId="1B7B9895" w14:textId="77777777" w:rsidR="00012D92" w:rsidRDefault="00012D9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12D92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2026-09-03T09:12:00Z</dcterms:created>
  <dcterms:modified xsi:type="dcterms:W3CDTF">2026-09-03T09:12:00Z</dcterms:modified>
  <cp:category/>
</cp:coreProperties>
</file>