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FC07A90" w:rsidR="00C360BD" w:rsidRDefault="00B82B89" w:rsidP="00C360BD">
      <w:pPr>
        <w:jc w:val="center"/>
        <w:rPr>
          <w:b/>
          <w:sz w:val="24"/>
        </w:rPr>
      </w:pPr>
      <w:r w:rsidRPr="00B82B89">
        <w:rPr>
          <w:b/>
          <w:sz w:val="24"/>
        </w:rPr>
        <w:t>Luděk Sýkora</w:t>
      </w:r>
      <w:r w:rsidRPr="00B82B8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82B89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D09B073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43A8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82B89" w:rsidRPr="00B82B89">
        <w:t>Metropolitan Governance without Metropolitan Government: EU Cohesion Policy</w:t>
      </w:r>
      <w:r w:rsidR="00B82B89">
        <w:br/>
      </w:r>
      <w:r w:rsidR="00B82B89" w:rsidRPr="00B82B89">
        <w:t>and the Urban Dimension in Budapest, Prague and Warsaw</w:t>
      </w:r>
      <w:r>
        <w:t>”</w:t>
      </w:r>
      <w:r w:rsidR="0048495F">
        <w:t xml:space="preserve"> </w:t>
      </w:r>
    </w:p>
    <w:p w14:paraId="16DB20D1" w14:textId="619A2CD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82B89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23E6" w14:textId="77777777" w:rsidR="006A7688" w:rsidRDefault="006A7688" w:rsidP="006521CC">
      <w:pPr>
        <w:spacing w:after="0" w:line="240" w:lineRule="auto"/>
      </w:pPr>
      <w:r>
        <w:separator/>
      </w:r>
    </w:p>
  </w:endnote>
  <w:endnote w:type="continuationSeparator" w:id="0">
    <w:p w14:paraId="4C2189AB" w14:textId="77777777" w:rsidR="006A7688" w:rsidRDefault="006A768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5A3A4" w14:textId="77777777" w:rsidR="006A7688" w:rsidRDefault="006A7688" w:rsidP="006521CC">
      <w:pPr>
        <w:spacing w:after="0" w:line="240" w:lineRule="auto"/>
      </w:pPr>
      <w:r>
        <w:separator/>
      </w:r>
    </w:p>
  </w:footnote>
  <w:footnote w:type="continuationSeparator" w:id="0">
    <w:p w14:paraId="6D51AA8D" w14:textId="77777777" w:rsidR="006A7688" w:rsidRDefault="006A768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A7688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2026-09-03T08:31:00Z</dcterms:created>
  <dcterms:modified xsi:type="dcterms:W3CDTF">2026-09-03T08:31:00Z</dcterms:modified>
  <cp:category/>
</cp:coreProperties>
</file>