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5581230" w:rsidR="00C360BD" w:rsidRDefault="001E105D" w:rsidP="00C360BD">
      <w:pPr>
        <w:jc w:val="center"/>
        <w:rPr>
          <w:b/>
          <w:sz w:val="24"/>
        </w:rPr>
      </w:pPr>
      <w:r w:rsidRPr="001E105D">
        <w:rPr>
          <w:b/>
          <w:sz w:val="24"/>
        </w:rPr>
        <w:t>Josef Kunc</w:t>
      </w:r>
      <w:r w:rsidRPr="001E105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E105D"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43B2F18" w:rsidR="00920391" w:rsidRDefault="00920391" w:rsidP="001E105D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147C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E105D">
        <w:t>Industrial Specialization, Deindustrialization, Functional, Spatial and</w:t>
      </w:r>
      <w:r w:rsidR="001E105D">
        <w:t xml:space="preserve"> </w:t>
      </w:r>
      <w:r w:rsidR="001E105D">
        <w:t>Population Changes: the example of Czech cities, particularly Brno</w:t>
      </w:r>
      <w:r>
        <w:t>”</w:t>
      </w:r>
      <w:r w:rsidR="0048495F">
        <w:t xml:space="preserve"> </w:t>
      </w:r>
    </w:p>
    <w:p w14:paraId="16DB20D1" w14:textId="0F08147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E105D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D565" w14:textId="77777777" w:rsidR="00FA75F9" w:rsidRDefault="00FA75F9" w:rsidP="006521CC">
      <w:pPr>
        <w:spacing w:after="0" w:line="240" w:lineRule="auto"/>
      </w:pPr>
      <w:r>
        <w:separator/>
      </w:r>
    </w:p>
  </w:endnote>
  <w:endnote w:type="continuationSeparator" w:id="0">
    <w:p w14:paraId="3E76A32D" w14:textId="77777777" w:rsidR="00FA75F9" w:rsidRDefault="00FA75F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D4202" w14:textId="77777777" w:rsidR="00FA75F9" w:rsidRDefault="00FA75F9" w:rsidP="006521CC">
      <w:pPr>
        <w:spacing w:after="0" w:line="240" w:lineRule="auto"/>
      </w:pPr>
      <w:r>
        <w:separator/>
      </w:r>
    </w:p>
  </w:footnote>
  <w:footnote w:type="continuationSeparator" w:id="0">
    <w:p w14:paraId="3B6EB736" w14:textId="77777777" w:rsidR="00FA75F9" w:rsidRDefault="00FA75F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6F90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A75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2026-09-02T13:21:00Z</dcterms:created>
  <dcterms:modified xsi:type="dcterms:W3CDTF">2026-09-02T13:21:00Z</dcterms:modified>
  <cp:category/>
</cp:coreProperties>
</file>